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2" w:rsidRDefault="00902FC2" w:rsidP="00902FC2">
      <w:pPr>
        <w:pStyle w:val="Default"/>
        <w:rPr>
          <w:color w:val="auto"/>
        </w:rPr>
      </w:pPr>
    </w:p>
    <w:p w:rsidR="00902FC2" w:rsidRPr="00902FC2" w:rsidRDefault="00902FC2" w:rsidP="00902FC2">
      <w:pPr>
        <w:pStyle w:val="Default"/>
        <w:jc w:val="center"/>
        <w:rPr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Enquête sur les pesticides dans le secteur du code postal 67120</w:t>
      </w:r>
    </w:p>
    <w:p w:rsidR="00902FC2" w:rsidRDefault="00902FC2" w:rsidP="00902FC2">
      <w:pPr>
        <w:pStyle w:val="Default"/>
        <w:jc w:val="center"/>
        <w:rPr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L’information officielle sur la toxicité</w:t>
      </w:r>
    </w:p>
    <w:p w:rsidR="00902FC2" w:rsidRDefault="00902FC2" w:rsidP="00902FC2">
      <w:pPr>
        <w:pStyle w:val="Default"/>
        <w:jc w:val="center"/>
        <w:rPr>
          <w:color w:val="auto"/>
          <w:sz w:val="48"/>
          <w:szCs w:val="48"/>
        </w:rPr>
      </w:pPr>
      <w:proofErr w:type="gramStart"/>
      <w:r>
        <w:rPr>
          <w:b/>
          <w:bCs/>
          <w:color w:val="auto"/>
          <w:sz w:val="48"/>
          <w:szCs w:val="48"/>
        </w:rPr>
        <w:t>des</w:t>
      </w:r>
      <w:proofErr w:type="gramEnd"/>
      <w:r>
        <w:rPr>
          <w:b/>
          <w:bCs/>
          <w:color w:val="auto"/>
          <w:sz w:val="48"/>
          <w:szCs w:val="48"/>
        </w:rPr>
        <w:t xml:space="preserve"> pesticides à long terme</w:t>
      </w:r>
    </w:p>
    <w:p w:rsidR="00902FC2" w:rsidRDefault="00902FC2" w:rsidP="00902FC2">
      <w:pPr>
        <w:pStyle w:val="Default"/>
        <w:jc w:val="center"/>
        <w:rPr>
          <w:color w:val="auto"/>
          <w:sz w:val="48"/>
          <w:szCs w:val="48"/>
        </w:rPr>
      </w:pPr>
      <w:proofErr w:type="gramStart"/>
      <w:r>
        <w:rPr>
          <w:b/>
          <w:bCs/>
          <w:color w:val="auto"/>
          <w:sz w:val="48"/>
          <w:szCs w:val="48"/>
        </w:rPr>
        <w:t>est</w:t>
      </w:r>
      <w:proofErr w:type="gramEnd"/>
      <w:r>
        <w:rPr>
          <w:b/>
          <w:bCs/>
          <w:color w:val="auto"/>
          <w:sz w:val="48"/>
          <w:szCs w:val="48"/>
        </w:rPr>
        <w:t xml:space="preserve"> tronquée</w:t>
      </w:r>
    </w:p>
    <w:p w:rsidR="00E31482" w:rsidRDefault="00E31482" w:rsidP="00902FC2">
      <w:pPr>
        <w:pStyle w:val="Default"/>
        <w:rPr>
          <w:b/>
          <w:bCs/>
          <w:color w:val="auto"/>
          <w:sz w:val="32"/>
          <w:szCs w:val="32"/>
        </w:rPr>
      </w:pPr>
    </w:p>
    <w:p w:rsidR="006D23C0" w:rsidRDefault="006D23C0" w:rsidP="006D23C0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Rédaction : Dr. Anne </w:t>
      </w:r>
      <w:proofErr w:type="spellStart"/>
      <w:r>
        <w:rPr>
          <w:color w:val="auto"/>
          <w:sz w:val="28"/>
          <w:szCs w:val="28"/>
        </w:rPr>
        <w:t>Vonesch</w:t>
      </w:r>
      <w:proofErr w:type="spellEnd"/>
    </w:p>
    <w:p w:rsidR="006D23C0" w:rsidRDefault="006D23C0" w:rsidP="006D23C0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Avec les contributions d’Alain Bertrand</w:t>
      </w:r>
    </w:p>
    <w:p w:rsidR="006D23C0" w:rsidRDefault="006D23C0" w:rsidP="006D23C0">
      <w:pPr>
        <w:pStyle w:val="Default"/>
        <w:jc w:val="center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et</w:t>
      </w:r>
      <w:proofErr w:type="gramEnd"/>
      <w:r>
        <w:rPr>
          <w:color w:val="auto"/>
          <w:sz w:val="22"/>
          <w:szCs w:val="22"/>
        </w:rPr>
        <w:t xml:space="preserve"> l’aide de Michèle </w:t>
      </w:r>
      <w:proofErr w:type="spellStart"/>
      <w:r>
        <w:rPr>
          <w:color w:val="auto"/>
          <w:sz w:val="22"/>
          <w:szCs w:val="22"/>
        </w:rPr>
        <w:t>Weisheit</w:t>
      </w:r>
      <w:proofErr w:type="spellEnd"/>
      <w:r>
        <w:rPr>
          <w:color w:val="auto"/>
          <w:sz w:val="22"/>
          <w:szCs w:val="22"/>
        </w:rPr>
        <w:t xml:space="preserve"> et Michèle Grosjean</w:t>
      </w:r>
    </w:p>
    <w:p w:rsidR="006D23C0" w:rsidRDefault="006D23C0" w:rsidP="006D23C0">
      <w:pPr>
        <w:pStyle w:val="Default"/>
        <w:jc w:val="center"/>
        <w:rPr>
          <w:color w:val="auto"/>
          <w:sz w:val="22"/>
          <w:szCs w:val="22"/>
        </w:rPr>
      </w:pPr>
    </w:p>
    <w:p w:rsidR="006D23C0" w:rsidRDefault="006D23C0" w:rsidP="00902FC2">
      <w:pPr>
        <w:pStyle w:val="Default"/>
        <w:rPr>
          <w:b/>
          <w:bCs/>
          <w:color w:val="auto"/>
          <w:sz w:val="32"/>
          <w:szCs w:val="32"/>
        </w:rPr>
      </w:pPr>
    </w:p>
    <w:p w:rsidR="00902FC2" w:rsidRDefault="00902FC2" w:rsidP="00902FC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Résumé </w:t>
      </w:r>
    </w:p>
    <w:p w:rsidR="00CF4E3B" w:rsidRDefault="00902FC2" w:rsidP="00AC6E01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Pour la première fois, en 2020, des distances minimales entre épandages et riverains seront obligatoires. Elles sont très insuffisantes pour les uns, et excessives pour les autres</w:t>
      </w:r>
      <w:r>
        <w:rPr>
          <w:b/>
          <w:b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Mais </w:t>
      </w:r>
      <w:r>
        <w:rPr>
          <w:b/>
          <w:bCs/>
          <w:color w:val="auto"/>
          <w:sz w:val="22"/>
          <w:szCs w:val="22"/>
        </w:rPr>
        <w:t>quels peuvent réellement être les effets chroniques sur la santé, des pestic</w:t>
      </w:r>
      <w:r w:rsidR="00CF4E3B">
        <w:rPr>
          <w:b/>
          <w:bCs/>
          <w:color w:val="auto"/>
          <w:sz w:val="22"/>
          <w:szCs w:val="22"/>
        </w:rPr>
        <w:t>ides utilisés dans nos villages</w:t>
      </w:r>
      <w:r>
        <w:rPr>
          <w:b/>
          <w:bCs/>
          <w:color w:val="auto"/>
          <w:sz w:val="22"/>
          <w:szCs w:val="22"/>
        </w:rPr>
        <w:t>?</w:t>
      </w:r>
    </w:p>
    <w:p w:rsidR="00CF4E3B" w:rsidRDefault="00CF4E3B" w:rsidP="00AC6E0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F4E3B" w:rsidRDefault="00902FC2" w:rsidP="00AC6E01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Pour répondre à cette question, les pesticides achetés en 2017 dans le secteur du code postal 67120 ont été analysés. Il s’agit de 12 communes à l’ouest de Strasbourg, avec grandes cultures, vignoble, élevage surtout laitier, et arboriculture. Sur 343 produits vendus selon la base BNVD, les 72 produits achetés à &gt; 200 kg ou &gt; 200 l ont été retenus, ainsi que 6 produits à faible quantité pris au hasard et les 14 produits à mécanisme d’action SDHI. </w:t>
      </w:r>
    </w:p>
    <w:p w:rsidR="00902FC2" w:rsidRDefault="00902FC2" w:rsidP="00AC6E0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Ainsi </w:t>
      </w:r>
      <w:r>
        <w:rPr>
          <w:b/>
          <w:bCs/>
          <w:color w:val="auto"/>
          <w:sz w:val="22"/>
          <w:szCs w:val="22"/>
        </w:rPr>
        <w:t xml:space="preserve">89 substances </w:t>
      </w:r>
      <w:r>
        <w:rPr>
          <w:color w:val="auto"/>
          <w:sz w:val="22"/>
          <w:szCs w:val="22"/>
        </w:rPr>
        <w:t xml:space="preserve">(noms écrits en minuscules) </w:t>
      </w:r>
      <w:r>
        <w:rPr>
          <w:b/>
          <w:bCs/>
          <w:color w:val="auto"/>
          <w:sz w:val="22"/>
          <w:szCs w:val="22"/>
        </w:rPr>
        <w:t xml:space="preserve">et 92 produits </w:t>
      </w:r>
      <w:r>
        <w:rPr>
          <w:color w:val="auto"/>
          <w:sz w:val="22"/>
          <w:szCs w:val="22"/>
        </w:rPr>
        <w:t xml:space="preserve">(noms écrits en MAJUSCULES) </w:t>
      </w:r>
      <w:r>
        <w:rPr>
          <w:b/>
          <w:bCs/>
          <w:color w:val="auto"/>
          <w:sz w:val="22"/>
          <w:szCs w:val="22"/>
        </w:rPr>
        <w:t xml:space="preserve">dont la majorité </w:t>
      </w:r>
      <w:proofErr w:type="gramStart"/>
      <w:r>
        <w:rPr>
          <w:b/>
          <w:bCs/>
          <w:color w:val="auto"/>
          <w:sz w:val="22"/>
          <w:szCs w:val="22"/>
        </w:rPr>
        <w:t>contiennent</w:t>
      </w:r>
      <w:proofErr w:type="gramEnd"/>
      <w:r>
        <w:rPr>
          <w:b/>
          <w:bCs/>
          <w:color w:val="auto"/>
          <w:sz w:val="22"/>
          <w:szCs w:val="22"/>
        </w:rPr>
        <w:t xml:space="preserve"> </w:t>
      </w:r>
      <w:r w:rsidR="00CF4E3B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2 et parfois 3 substances, ont été analysés</w:t>
      </w:r>
      <w:r>
        <w:rPr>
          <w:color w:val="auto"/>
          <w:sz w:val="22"/>
          <w:szCs w:val="22"/>
        </w:rPr>
        <w:t xml:space="preserve">. Quant aux </w:t>
      </w:r>
      <w:r>
        <w:rPr>
          <w:b/>
          <w:bCs/>
          <w:color w:val="auto"/>
          <w:sz w:val="22"/>
          <w:szCs w:val="22"/>
        </w:rPr>
        <w:t>effets à long terme sur la santé</w:t>
      </w:r>
      <w:r>
        <w:rPr>
          <w:color w:val="auto"/>
          <w:sz w:val="22"/>
          <w:szCs w:val="22"/>
        </w:rPr>
        <w:t xml:space="preserve">, </w:t>
      </w:r>
      <w:r>
        <w:rPr>
          <w:b/>
          <w:bCs/>
          <w:color w:val="auto"/>
          <w:sz w:val="22"/>
          <w:szCs w:val="22"/>
        </w:rPr>
        <w:t xml:space="preserve">une comparaison a été effectuée entre les informations données dans les phrases officielles de danger européennes, qui figurent obligatoirement sur l’étiquetage, et des informations issues des banques de données Pesticides </w:t>
      </w:r>
      <w:proofErr w:type="spellStart"/>
      <w:r>
        <w:rPr>
          <w:b/>
          <w:bCs/>
          <w:color w:val="auto"/>
          <w:sz w:val="22"/>
          <w:szCs w:val="22"/>
        </w:rPr>
        <w:t>Properties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DataBase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(PPDB) de l’Université de Hertfordshire, Royaume-Uni, et de la base canadienne </w:t>
      </w:r>
      <w:proofErr w:type="spellStart"/>
      <w:r>
        <w:rPr>
          <w:b/>
          <w:bCs/>
          <w:color w:val="auto"/>
          <w:sz w:val="22"/>
          <w:szCs w:val="22"/>
        </w:rPr>
        <w:t>SAGEpesticides</w:t>
      </w:r>
      <w:proofErr w:type="spellEnd"/>
      <w:r>
        <w:rPr>
          <w:color w:val="auto"/>
          <w:sz w:val="22"/>
          <w:szCs w:val="22"/>
        </w:rPr>
        <w:t xml:space="preserve">, avec occasionnellement quelques autres sources (fiches de sécurité des produits, INSERM, rapports officiels,…). </w:t>
      </w:r>
    </w:p>
    <w:p w:rsidR="00CF4E3B" w:rsidRDefault="00CF4E3B" w:rsidP="00AC6E0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F4E3B" w:rsidRDefault="00902FC2" w:rsidP="00AC6E01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La comparaison montre que les écarts entre l’affichage officiel d’une part, et d’autre part les risques pour la santé répertoriés ailleurs, sont considérables. </w:t>
      </w:r>
      <w:r>
        <w:rPr>
          <w:color w:val="auto"/>
          <w:sz w:val="22"/>
          <w:szCs w:val="22"/>
        </w:rPr>
        <w:t>Les distinctions expertes entre dangers avérés, probables, suspectés, potentiels, susceptibles de se produire… ne doivent pas servir à cacher qu’il existe un risque réel.</w:t>
      </w:r>
      <w:r w:rsidR="00CF4E3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:rsidR="00CF4E3B" w:rsidRDefault="00902FC2" w:rsidP="00AC6E0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Nous de notre côté intégrons tous les degrés de risque documentés et demandons transparence. Ainsi le </w:t>
      </w:r>
      <w:r>
        <w:rPr>
          <w:b/>
          <w:bCs/>
          <w:color w:val="auto"/>
          <w:sz w:val="22"/>
          <w:szCs w:val="22"/>
        </w:rPr>
        <w:t xml:space="preserve">risque cancérigène </w:t>
      </w:r>
      <w:r>
        <w:rPr>
          <w:color w:val="auto"/>
          <w:sz w:val="22"/>
          <w:szCs w:val="22"/>
        </w:rPr>
        <w:t xml:space="preserve">concerne officiellement </w:t>
      </w:r>
      <w:r>
        <w:rPr>
          <w:b/>
          <w:bCs/>
          <w:color w:val="auto"/>
          <w:sz w:val="22"/>
          <w:szCs w:val="22"/>
        </w:rPr>
        <w:t xml:space="preserve">8 substances (8 %) </w:t>
      </w:r>
      <w:r>
        <w:rPr>
          <w:color w:val="auto"/>
          <w:sz w:val="22"/>
          <w:szCs w:val="22"/>
        </w:rPr>
        <w:t xml:space="preserve">et </w:t>
      </w:r>
      <w:r>
        <w:rPr>
          <w:b/>
          <w:bCs/>
          <w:color w:val="auto"/>
          <w:sz w:val="22"/>
          <w:szCs w:val="22"/>
        </w:rPr>
        <w:t xml:space="preserve">14 produits (15 %) </w:t>
      </w:r>
      <w:r>
        <w:rPr>
          <w:color w:val="auto"/>
          <w:sz w:val="22"/>
          <w:szCs w:val="22"/>
        </w:rPr>
        <w:t xml:space="preserve">mais selon d’autres sources 35 substances et 51 produits ‘confirmés’, ‘probables’ ou ‘suspects’ s’y rajoutent pour un total de </w:t>
      </w:r>
      <w:r>
        <w:rPr>
          <w:b/>
          <w:bCs/>
          <w:color w:val="auto"/>
          <w:sz w:val="22"/>
          <w:szCs w:val="22"/>
        </w:rPr>
        <w:t xml:space="preserve">48 % </w:t>
      </w:r>
      <w:r>
        <w:rPr>
          <w:color w:val="auto"/>
          <w:sz w:val="22"/>
          <w:szCs w:val="22"/>
        </w:rPr>
        <w:t xml:space="preserve">des substances et </w:t>
      </w:r>
      <w:r>
        <w:rPr>
          <w:b/>
          <w:bCs/>
          <w:color w:val="auto"/>
          <w:sz w:val="22"/>
          <w:szCs w:val="22"/>
        </w:rPr>
        <w:t xml:space="preserve">63 % </w:t>
      </w:r>
      <w:r>
        <w:rPr>
          <w:color w:val="auto"/>
          <w:sz w:val="22"/>
          <w:szCs w:val="22"/>
        </w:rPr>
        <w:t xml:space="preserve">des produits. Pour ce qui est </w:t>
      </w:r>
      <w:r>
        <w:rPr>
          <w:b/>
          <w:bCs/>
          <w:color w:val="auto"/>
          <w:sz w:val="22"/>
          <w:szCs w:val="22"/>
        </w:rPr>
        <w:t xml:space="preserve">de l’effet toxique sur la reproduction et/ou le développement 20 % </w:t>
      </w:r>
      <w:r>
        <w:rPr>
          <w:color w:val="auto"/>
          <w:sz w:val="22"/>
          <w:szCs w:val="22"/>
        </w:rPr>
        <w:t xml:space="preserve">des substances et </w:t>
      </w:r>
      <w:r>
        <w:rPr>
          <w:b/>
          <w:bCs/>
          <w:color w:val="auto"/>
          <w:sz w:val="22"/>
          <w:szCs w:val="22"/>
        </w:rPr>
        <w:t xml:space="preserve">22 % </w:t>
      </w:r>
      <w:r>
        <w:rPr>
          <w:color w:val="auto"/>
          <w:sz w:val="22"/>
          <w:szCs w:val="22"/>
        </w:rPr>
        <w:t xml:space="preserve">des produits sont signalés officiellement, mais en incluant d’autres sources d’information </w:t>
      </w:r>
      <w:r>
        <w:rPr>
          <w:b/>
          <w:bCs/>
          <w:color w:val="auto"/>
          <w:sz w:val="22"/>
          <w:szCs w:val="22"/>
        </w:rPr>
        <w:t xml:space="preserve">78 % </w:t>
      </w:r>
      <w:r>
        <w:rPr>
          <w:color w:val="auto"/>
          <w:sz w:val="22"/>
          <w:szCs w:val="22"/>
        </w:rPr>
        <w:t xml:space="preserve">de substances et </w:t>
      </w:r>
      <w:r>
        <w:rPr>
          <w:b/>
          <w:bCs/>
          <w:color w:val="auto"/>
          <w:sz w:val="22"/>
          <w:szCs w:val="22"/>
        </w:rPr>
        <w:t xml:space="preserve">84 % </w:t>
      </w:r>
      <w:r>
        <w:rPr>
          <w:color w:val="auto"/>
          <w:sz w:val="22"/>
          <w:szCs w:val="22"/>
        </w:rPr>
        <w:t xml:space="preserve">des produits sont suspects au total. </w:t>
      </w:r>
      <w:r>
        <w:rPr>
          <w:b/>
          <w:bCs/>
          <w:color w:val="auto"/>
          <w:sz w:val="22"/>
          <w:szCs w:val="22"/>
        </w:rPr>
        <w:t xml:space="preserve">Une seule </w:t>
      </w:r>
      <w:r>
        <w:rPr>
          <w:color w:val="auto"/>
          <w:sz w:val="22"/>
          <w:szCs w:val="22"/>
        </w:rPr>
        <w:t xml:space="preserve">substance est officiellement classée </w:t>
      </w:r>
      <w:r>
        <w:rPr>
          <w:b/>
          <w:bCs/>
          <w:color w:val="auto"/>
          <w:sz w:val="22"/>
          <w:szCs w:val="22"/>
        </w:rPr>
        <w:t xml:space="preserve">mutagène </w:t>
      </w:r>
      <w:r>
        <w:rPr>
          <w:color w:val="auto"/>
          <w:sz w:val="22"/>
          <w:szCs w:val="22"/>
        </w:rPr>
        <w:t xml:space="preserve">; mais </w:t>
      </w:r>
      <w:r>
        <w:rPr>
          <w:b/>
          <w:bCs/>
          <w:color w:val="auto"/>
          <w:sz w:val="22"/>
          <w:szCs w:val="22"/>
        </w:rPr>
        <w:t xml:space="preserve">24 % </w:t>
      </w:r>
      <w:r>
        <w:rPr>
          <w:color w:val="auto"/>
          <w:sz w:val="22"/>
          <w:szCs w:val="22"/>
        </w:rPr>
        <w:t xml:space="preserve">des substances et </w:t>
      </w:r>
      <w:r>
        <w:rPr>
          <w:b/>
          <w:bCs/>
          <w:color w:val="auto"/>
          <w:sz w:val="22"/>
          <w:szCs w:val="22"/>
        </w:rPr>
        <w:t xml:space="preserve">53 % </w:t>
      </w:r>
      <w:r>
        <w:rPr>
          <w:color w:val="auto"/>
          <w:sz w:val="22"/>
          <w:szCs w:val="22"/>
        </w:rPr>
        <w:t xml:space="preserve">des produits présentent un doute. </w:t>
      </w:r>
    </w:p>
    <w:p w:rsidR="00902FC2" w:rsidRDefault="00902FC2" w:rsidP="00AC6E01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Les effets de perturbateur endocrinien, de toxicité sur le foie et les reins, et les effets neurotoxiques (respectivement 49 %, 75 %, 48 % et 49 % des produits selon nos sources) ne sont </w:t>
      </w:r>
      <w:r>
        <w:rPr>
          <w:b/>
          <w:bCs/>
          <w:color w:val="auto"/>
          <w:sz w:val="22"/>
          <w:szCs w:val="22"/>
        </w:rPr>
        <w:lastRenderedPageBreak/>
        <w:t xml:space="preserve">jamais mentionnés dans les fiches des phrases de danger officielles </w:t>
      </w:r>
      <w:r>
        <w:rPr>
          <w:color w:val="auto"/>
          <w:sz w:val="22"/>
          <w:szCs w:val="22"/>
        </w:rPr>
        <w:t xml:space="preserve">destinées à l’utilisateur. L’avis récent de l’ANSES classe </w:t>
      </w:r>
      <w:r>
        <w:rPr>
          <w:b/>
          <w:bCs/>
          <w:color w:val="auto"/>
          <w:sz w:val="22"/>
          <w:szCs w:val="22"/>
        </w:rPr>
        <w:t xml:space="preserve">30 </w:t>
      </w:r>
      <w:r>
        <w:rPr>
          <w:color w:val="auto"/>
          <w:sz w:val="22"/>
          <w:szCs w:val="22"/>
        </w:rPr>
        <w:t xml:space="preserve">substances et </w:t>
      </w:r>
      <w:r>
        <w:rPr>
          <w:b/>
          <w:bCs/>
          <w:color w:val="auto"/>
          <w:sz w:val="22"/>
          <w:szCs w:val="22"/>
        </w:rPr>
        <w:t xml:space="preserve">46 % </w:t>
      </w:r>
      <w:r>
        <w:rPr>
          <w:color w:val="auto"/>
          <w:sz w:val="22"/>
          <w:szCs w:val="22"/>
        </w:rPr>
        <w:t xml:space="preserve">des produits de notre échantillon comme préoccupants car perturbateurs endocriniens. </w:t>
      </w:r>
    </w:p>
    <w:p w:rsidR="00902FC2" w:rsidRDefault="00902FC2" w:rsidP="00AC6E01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L’évolution </w:t>
      </w:r>
      <w:r>
        <w:rPr>
          <w:color w:val="auto"/>
          <w:sz w:val="22"/>
          <w:szCs w:val="22"/>
        </w:rPr>
        <w:t xml:space="preserve">des achats en 2018 est contrastée. </w:t>
      </w:r>
    </w:p>
    <w:p w:rsidR="00902FC2" w:rsidRDefault="00902FC2" w:rsidP="00AC6E0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Les comptages sont effectués à partir d’un tableau qui rassemble les données (voir en dernières pages). Les effets chroniques sur la santé sont résumés substance par substance, par ordre alphabétique, ce qui permet à chacun de vérifier les sources et leur interprétation (2</w:t>
      </w:r>
      <w:r>
        <w:rPr>
          <w:color w:val="auto"/>
          <w:sz w:val="14"/>
          <w:szCs w:val="14"/>
        </w:rPr>
        <w:t xml:space="preserve">ème </w:t>
      </w:r>
      <w:r>
        <w:rPr>
          <w:color w:val="auto"/>
          <w:sz w:val="22"/>
          <w:szCs w:val="22"/>
        </w:rPr>
        <w:t>partie). Les résultats sont détaillés, et les questions de fond sont posées (3</w:t>
      </w:r>
      <w:r>
        <w:rPr>
          <w:color w:val="auto"/>
          <w:sz w:val="14"/>
          <w:szCs w:val="14"/>
        </w:rPr>
        <w:t xml:space="preserve">ème </w:t>
      </w:r>
      <w:r>
        <w:rPr>
          <w:color w:val="auto"/>
          <w:sz w:val="22"/>
          <w:szCs w:val="22"/>
        </w:rPr>
        <w:t xml:space="preserve">partie). </w:t>
      </w:r>
    </w:p>
    <w:p w:rsidR="00CF4E3B" w:rsidRDefault="00CF4E3B" w:rsidP="00AC6E0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902FC2" w:rsidRDefault="00902FC2" w:rsidP="00AC6E01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La conclusion est qu’en matière d’information sur les dangers des pesticides les règlements européens s’avèrent peu efficaces. </w:t>
      </w:r>
      <w:r>
        <w:rPr>
          <w:color w:val="auto"/>
          <w:sz w:val="22"/>
          <w:szCs w:val="22"/>
        </w:rPr>
        <w:t xml:space="preserve">Les dangers pour la santé sont beaucoup plus vastes que ce qui est affiché. L’ « usage sûr » des pesticides reste un mythe. </w:t>
      </w:r>
    </w:p>
    <w:p w:rsidR="00CF4E3B" w:rsidRDefault="00CF4E3B" w:rsidP="00AC6E01">
      <w:pPr>
        <w:pStyle w:val="Default"/>
        <w:jc w:val="both"/>
        <w:rPr>
          <w:color w:val="auto"/>
          <w:sz w:val="22"/>
          <w:szCs w:val="22"/>
        </w:rPr>
      </w:pPr>
    </w:p>
    <w:p w:rsidR="00902FC2" w:rsidRDefault="00902FC2" w:rsidP="00AC6E0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Le gouvernement français prescrit une </w:t>
      </w:r>
      <w:r>
        <w:rPr>
          <w:b/>
          <w:bCs/>
          <w:color w:val="auto"/>
          <w:sz w:val="22"/>
          <w:szCs w:val="22"/>
        </w:rPr>
        <w:t xml:space="preserve">distance de 20m incompressible pour les substances préoccupantes, or la liste des produits concernés publiée par le Ministère devrait être rapidement complétée par toutes les substances préoccupantes listées par l’ANSES. </w:t>
      </w:r>
      <w:r>
        <w:rPr>
          <w:color w:val="auto"/>
          <w:sz w:val="22"/>
          <w:szCs w:val="22"/>
        </w:rPr>
        <w:t xml:space="preserve">Il n’est pas acceptable que les riverains soient obligés de se calfeutrer. Il faut sortir des pesticides de synthèse et/ou dangereux. </w:t>
      </w:r>
    </w:p>
    <w:p w:rsidR="00902FC2" w:rsidRDefault="00902FC2" w:rsidP="00AC6E01">
      <w:pPr>
        <w:jc w:val="both"/>
      </w:pPr>
      <w:r>
        <w:rPr>
          <w:b/>
          <w:bCs/>
        </w:rPr>
        <w:t xml:space="preserve">Le cadre règlementaire européen reflète une défaillance de gouvernance et d’éthique </w:t>
      </w:r>
      <w:r>
        <w:t>avec des conséquences graves en matière de politique agricole et commerciale. L’usine à gaz autour des pesticides pérennise une guerre cruelle contre le vivant</w:t>
      </w:r>
    </w:p>
    <w:p w:rsidR="00CF4E3B" w:rsidRDefault="00E31482" w:rsidP="00AC6E01">
      <w:pPr>
        <w:jc w:val="both"/>
      </w:pPr>
      <w:r>
        <w:t>Etude à télécharger</w:t>
      </w:r>
    </w:p>
    <w:p w:rsidR="00ED7B08" w:rsidRDefault="00AC6E01" w:rsidP="00ED7B08">
      <w:pPr>
        <w:pStyle w:val="Textebrut"/>
        <w:rPr>
          <w:rStyle w:val="Lienhypertexte"/>
        </w:rPr>
      </w:pPr>
      <w:hyperlink r:id="rId5" w:history="1">
        <w:r w:rsidR="00ED7B08">
          <w:rPr>
            <w:rStyle w:val="Lienhypertexte"/>
          </w:rPr>
          <w:t>https://alsacenature.org/slider/pesticides-cette-toxicite-qu-on-nous-cache/</w:t>
        </w:r>
      </w:hyperlink>
    </w:p>
    <w:p w:rsidR="0008121A" w:rsidRDefault="0008121A" w:rsidP="00902FC2">
      <w:bookmarkStart w:id="0" w:name="_GoBack"/>
      <w:bookmarkEnd w:id="0"/>
    </w:p>
    <w:p w:rsidR="0008121A" w:rsidRPr="0008121A" w:rsidRDefault="0008121A" w:rsidP="0008121A">
      <w:pPr>
        <w:pStyle w:val="Default"/>
        <w:jc w:val="center"/>
        <w:rPr>
          <w:color w:val="auto"/>
          <w:sz w:val="28"/>
          <w:szCs w:val="28"/>
        </w:rPr>
      </w:pPr>
      <w:r w:rsidRPr="0008121A">
        <w:rPr>
          <w:color w:val="auto"/>
          <w:sz w:val="28"/>
          <w:szCs w:val="28"/>
        </w:rPr>
        <w:t>Alsace Nature 8, rue Adèle Riton 67000 Strasbourg</w:t>
      </w:r>
    </w:p>
    <w:p w:rsidR="0008121A" w:rsidRPr="0008121A" w:rsidRDefault="0008121A" w:rsidP="0008121A">
      <w:pPr>
        <w:pStyle w:val="Default"/>
        <w:jc w:val="center"/>
        <w:rPr>
          <w:color w:val="auto"/>
          <w:sz w:val="28"/>
          <w:szCs w:val="28"/>
        </w:rPr>
      </w:pPr>
      <w:r w:rsidRPr="0008121A">
        <w:rPr>
          <w:color w:val="auto"/>
          <w:sz w:val="28"/>
          <w:szCs w:val="28"/>
        </w:rPr>
        <w:t>siegeregion@alsacenature.org contact67@alsacenature.org</w:t>
      </w:r>
    </w:p>
    <w:p w:rsidR="0008121A" w:rsidRDefault="0008121A" w:rsidP="0008121A">
      <w:pPr>
        <w:jc w:val="center"/>
      </w:pPr>
      <w:r>
        <w:t>MAI 2020</w:t>
      </w:r>
    </w:p>
    <w:p w:rsidR="0008121A" w:rsidRDefault="0008121A" w:rsidP="00902FC2"/>
    <w:sectPr w:rsidR="0008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C2"/>
    <w:rsid w:val="0008121A"/>
    <w:rsid w:val="006D23C0"/>
    <w:rsid w:val="008609EC"/>
    <w:rsid w:val="00902FC2"/>
    <w:rsid w:val="00AC6E01"/>
    <w:rsid w:val="00AE7C99"/>
    <w:rsid w:val="00CF4E3B"/>
    <w:rsid w:val="00E31482"/>
    <w:rsid w:val="00ED7B08"/>
    <w:rsid w:val="00E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02F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CF4E3B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F4E3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F4E3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02F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CF4E3B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F4E3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F4E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sacenature.org/slider/pesticides-cette-toxicite-qu-on-nous-cach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GROSJEAN</dc:creator>
  <cp:lastModifiedBy>Esther</cp:lastModifiedBy>
  <cp:revision>3</cp:revision>
  <dcterms:created xsi:type="dcterms:W3CDTF">2020-05-26T13:24:00Z</dcterms:created>
  <dcterms:modified xsi:type="dcterms:W3CDTF">2020-05-27T08:46:00Z</dcterms:modified>
</cp:coreProperties>
</file>